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EB2772">
        <w:rPr>
          <w:bCs/>
          <w:noProof w:val="0"/>
          <w:sz w:val="24"/>
          <w:lang w:val="en-GB"/>
        </w:rPr>
        <w:t>#97</w:t>
      </w:r>
      <w:r w:rsidR="00792F25">
        <w:rPr>
          <w:bCs/>
          <w:noProof w:val="0"/>
          <w:sz w:val="24"/>
          <w:lang w:val="en-GB"/>
        </w:rPr>
        <w:t>bis</w:t>
      </w:r>
      <w:r w:rsidR="00831389">
        <w:rPr>
          <w:rFonts w:eastAsia="맑은 고딕"/>
          <w:bCs/>
          <w:noProof w:val="0"/>
          <w:sz w:val="24"/>
          <w:lang w:val="en-GB" w:eastAsia="ko-KR"/>
        </w:rPr>
        <w:tab/>
        <w:t>R3-1</w:t>
      </w:r>
      <w:r w:rsidR="002D575C">
        <w:rPr>
          <w:rFonts w:eastAsia="맑은 고딕"/>
          <w:bCs/>
          <w:noProof w:val="0"/>
          <w:sz w:val="24"/>
          <w:lang w:val="en-GB" w:eastAsia="ko-KR"/>
        </w:rPr>
        <w:t>74085</w:t>
      </w:r>
    </w:p>
    <w:p w:rsidR="00AC3F44" w:rsidRPr="00076C1C" w:rsidRDefault="00792F25" w:rsidP="00831389">
      <w:pPr>
        <w:pStyle w:val="a5"/>
        <w:tabs>
          <w:tab w:val="right" w:pos="9639"/>
        </w:tabs>
        <w:rPr>
          <w:bCs/>
          <w:noProof w:val="0"/>
          <w:sz w:val="24"/>
          <w:lang w:val="en-GB"/>
        </w:rPr>
      </w:pPr>
      <w:r w:rsidRPr="0028124E">
        <w:rPr>
          <w:rFonts w:eastAsia="바탕" w:cs="Arial"/>
          <w:color w:val="000000"/>
          <w:sz w:val="24"/>
          <w:szCs w:val="24"/>
          <w:lang w:eastAsia="ja-JP"/>
        </w:rPr>
        <w:t>Prague, Czech Republic, 9-13 October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w:t>
      </w:r>
      <w:r w:rsidR="005A61C6">
        <w:rPr>
          <w:rFonts w:eastAsia="맑은 고딕" w:cs="Arial"/>
          <w:b/>
          <w:bCs/>
          <w:sz w:val="24"/>
          <w:lang w:eastAsia="ko-KR"/>
        </w:rPr>
        <w:t>10</w:t>
      </w:r>
      <w:r w:rsidR="0048676B">
        <w:rPr>
          <w:rFonts w:eastAsia="맑은 고딕" w:cs="Arial"/>
          <w:b/>
          <w:bCs/>
          <w:sz w:val="24"/>
          <w:lang w:eastAsia="ko-KR"/>
        </w:rPr>
        <w:t>.</w:t>
      </w:r>
      <w:r w:rsidR="005A61C6">
        <w:rPr>
          <w:rFonts w:eastAsia="맑은 고딕" w:cs="Arial"/>
          <w:b/>
          <w:bCs/>
          <w:sz w:val="24"/>
          <w:lang w:eastAsia="ko-KR"/>
        </w:rPr>
        <w:t>1.6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74056">
        <w:rPr>
          <w:rFonts w:ascii="Arial" w:hAnsi="Arial" w:cs="Arial"/>
          <w:b/>
          <w:bCs/>
          <w:sz w:val="24"/>
        </w:rPr>
        <w:t xml:space="preserve">Issue on </w:t>
      </w:r>
      <w:r w:rsidR="005A61C6" w:rsidRPr="005A61C6">
        <w:rPr>
          <w:rFonts w:ascii="Arial" w:hAnsi="Arial" w:cs="Arial"/>
          <w:b/>
          <w:bCs/>
          <w:sz w:val="24"/>
        </w:rPr>
        <w:t>Inter-gNB-DU Mobility using SCG SRB</w:t>
      </w:r>
      <w:r w:rsidR="002D575C">
        <w:rPr>
          <w:rFonts w:ascii="Arial" w:hAnsi="Arial" w:cs="Arial"/>
          <w:b/>
          <w:bCs/>
          <w:sz w:val="24"/>
        </w:rPr>
        <w:t xml:space="preserve"> (EN-DC)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9E6F0D" w:rsidP="00571757">
      <w:pPr>
        <w:jc w:val="both"/>
        <w:rPr>
          <w:rFonts w:eastAsia="맑은 고딕"/>
          <w:lang w:val="en-GB" w:eastAsia="ko-KR"/>
        </w:rPr>
      </w:pPr>
      <w:r>
        <w:rPr>
          <w:rFonts w:eastAsia="맑은 고딕"/>
          <w:lang w:val="en-GB" w:eastAsia="ko-KR"/>
        </w:rPr>
        <w:t xml:space="preserve">In </w:t>
      </w:r>
      <w:r w:rsidR="00C96F4E">
        <w:rPr>
          <w:rFonts w:eastAsia="맑은 고딕"/>
          <w:lang w:val="en-GB" w:eastAsia="ko-KR"/>
        </w:rPr>
        <w:t>last meeting</w:t>
      </w:r>
      <w:r w:rsidR="00951D83">
        <w:rPr>
          <w:rFonts w:eastAsia="맑은 고딕"/>
          <w:lang w:val="en-GB" w:eastAsia="ko-KR"/>
        </w:rPr>
        <w:t xml:space="preserve">, we </w:t>
      </w:r>
      <w:r w:rsidR="00C96F4E">
        <w:rPr>
          <w:rFonts w:eastAsia="맑은 고딕"/>
          <w:lang w:val="en-GB" w:eastAsia="ko-KR"/>
        </w:rPr>
        <w:t xml:space="preserve">discussed the procedures for inter-gNB DU mobility including the Intra-NR and EN-DC case. This paper is to focus on the </w:t>
      </w:r>
      <w:r w:rsidR="001C2F64">
        <w:rPr>
          <w:rFonts w:eastAsia="맑은 고딕"/>
          <w:lang w:val="en-GB" w:eastAsia="ko-KR"/>
        </w:rPr>
        <w:t xml:space="preserve">case of </w:t>
      </w:r>
      <w:r w:rsidR="00C96F4E">
        <w:rPr>
          <w:rFonts w:eastAsia="맑은 고딕"/>
          <w:lang w:val="en-GB" w:eastAsia="ko-KR"/>
        </w:rPr>
        <w:t xml:space="preserve">EN-DC using SCG SRB. </w:t>
      </w:r>
      <w:r w:rsidR="00CC4073">
        <w:rPr>
          <w:rFonts w:eastAsia="맑은 고딕"/>
          <w:lang w:val="en-GB" w:eastAsia="ko-KR"/>
        </w:rPr>
        <w:t>The cor</w:t>
      </w:r>
      <w:bookmarkStart w:id="1" w:name="_GoBack"/>
      <w:bookmarkEnd w:id="1"/>
      <w:r w:rsidR="00CC4073">
        <w:rPr>
          <w:rFonts w:eastAsia="맑은 고딕"/>
          <w:lang w:val="en-GB" w:eastAsia="ko-KR"/>
        </w:rPr>
        <w:t xml:space="preserve">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09549D" w:rsidRDefault="00B45285" w:rsidP="00C96F4E">
      <w:pPr>
        <w:jc w:val="both"/>
      </w:pPr>
      <w:r>
        <w:rPr>
          <w:rFonts w:eastAsia="맑은 고딕" w:hint="eastAsia"/>
          <w:lang w:eastAsia="ko-KR"/>
        </w:rPr>
        <w:t xml:space="preserve">In last meeting, we had discussion </w:t>
      </w:r>
      <w:r>
        <w:rPr>
          <w:rFonts w:eastAsia="맑은 고딕"/>
          <w:lang w:eastAsia="ko-KR"/>
        </w:rPr>
        <w:t xml:space="preserve">on </w:t>
      </w:r>
      <w:r>
        <w:rPr>
          <w:rFonts w:eastAsia="맑은 고딕" w:hint="eastAsia"/>
          <w:lang w:eastAsia="ko-KR"/>
        </w:rPr>
        <w:t xml:space="preserve">the call flows </w:t>
      </w:r>
      <w:r>
        <w:rPr>
          <w:rFonts w:eastAsia="맑은 고딕"/>
          <w:lang w:eastAsia="ko-KR"/>
        </w:rPr>
        <w:t xml:space="preserve">of </w:t>
      </w:r>
      <w:r w:rsidRPr="005A1CA6">
        <w:t xml:space="preserve">Inter-gNB-DU Mobility </w:t>
      </w:r>
      <w:r>
        <w:t>using</w:t>
      </w:r>
      <w:r w:rsidRPr="005A1CA6">
        <w:t xml:space="preserve"> </w:t>
      </w:r>
      <w:r>
        <w:t>SCG SRB</w:t>
      </w:r>
      <w:r>
        <w:t xml:space="preserve"> in [3]. </w:t>
      </w:r>
      <w:r w:rsidR="0009549D">
        <w:t xml:space="preserve">But no conclusion was reached. There are some open issues to handle. </w:t>
      </w:r>
    </w:p>
    <w:p w:rsidR="00B45285" w:rsidRDefault="0009549D" w:rsidP="00C96F4E">
      <w:pPr>
        <w:jc w:val="both"/>
      </w:pPr>
      <w:r>
        <w:t xml:space="preserve">In last meeting, we have adopted the call flows on </w:t>
      </w:r>
      <w:r w:rsidR="002A4366">
        <w:rPr>
          <w:rFonts w:eastAsia="맑은 고딕"/>
          <w:lang w:val="en-GB" w:eastAsia="ko-KR"/>
        </w:rPr>
        <w:t xml:space="preserve">inter-gNB DU mobility </w:t>
      </w:r>
      <w:r w:rsidR="002A4366">
        <w:rPr>
          <w:rFonts w:eastAsia="맑은 고딕"/>
          <w:lang w:val="en-GB" w:eastAsia="ko-KR"/>
        </w:rPr>
        <w:t xml:space="preserve">for </w:t>
      </w:r>
      <w:r w:rsidR="002A4366">
        <w:rPr>
          <w:rFonts w:eastAsia="맑은 고딕"/>
          <w:lang w:val="en-GB" w:eastAsia="ko-KR"/>
        </w:rPr>
        <w:t>Intra-NR</w:t>
      </w:r>
      <w:r w:rsidR="002A4366">
        <w:t xml:space="preserve"> case</w:t>
      </w:r>
      <w:r w:rsidR="00B45285">
        <w:t xml:space="preserve"> [4]</w:t>
      </w:r>
      <w:r w:rsidR="002A4366">
        <w:t xml:space="preserve">. Based on that, the following one shown in Fig.1 </w:t>
      </w:r>
      <w:r w:rsidR="00B45285">
        <w:t xml:space="preserve">is </w:t>
      </w:r>
      <w:r w:rsidR="002A4366">
        <w:t xml:space="preserve">the call flow for the case of EN-DC using SCG SRB. </w:t>
      </w:r>
      <w:r w:rsidR="00B45285">
        <w:t xml:space="preserve"> </w:t>
      </w:r>
    </w:p>
    <w:p w:rsidR="00B45285" w:rsidRDefault="009B4737" w:rsidP="009B4737">
      <w:pPr>
        <w:jc w:val="center"/>
      </w:pPr>
      <w:r>
        <w:object w:dxaOrig="10740" w:dyaOrig="7770">
          <v:shape id="_x0000_i1025" type="#_x0000_t75" style="width:366.75pt;height:265.15pt" o:ole="">
            <v:imagedata r:id="rId8" o:title=""/>
          </v:shape>
          <o:OLEObject Type="Embed" ProgID="Visio.Drawing.15" ShapeID="_x0000_i1025" DrawAspect="Content" ObjectID="_1568275192" r:id="rId9"/>
        </w:object>
      </w:r>
    </w:p>
    <w:p w:rsidR="002F4640" w:rsidRPr="002F4640" w:rsidRDefault="002F4640" w:rsidP="002F4640">
      <w:pPr>
        <w:jc w:val="center"/>
        <w:rPr>
          <w:rFonts w:eastAsia="맑은 고딕" w:hint="eastAsia"/>
          <w:b/>
          <w:lang w:eastAsia="ko-KR"/>
        </w:rPr>
      </w:pPr>
      <w:r w:rsidRPr="002F4640">
        <w:rPr>
          <w:b/>
        </w:rPr>
        <w:t>Fig.1 Inter-gNB-DU Mobility using SCG SRB in EN-DC</w:t>
      </w:r>
      <w:r w:rsidR="0010070C">
        <w:rPr>
          <w:b/>
        </w:rPr>
        <w:t>.</w:t>
      </w:r>
    </w:p>
    <w:p w:rsidR="0010070C" w:rsidRDefault="002F4640" w:rsidP="00C96F4E">
      <w:pPr>
        <w:jc w:val="both"/>
        <w:rPr>
          <w:rFonts w:eastAsia="맑은 고딕"/>
          <w:lang w:eastAsia="ko-KR"/>
        </w:rPr>
      </w:pPr>
      <w:r>
        <w:rPr>
          <w:rFonts w:eastAsia="맑은 고딕" w:hint="eastAsia"/>
          <w:lang w:eastAsia="ko-KR"/>
        </w:rPr>
        <w:t xml:space="preserve">In the call flow above, there was one issue on whether step 2a is necessary or not. </w:t>
      </w:r>
    </w:p>
    <w:p w:rsidR="002F4640" w:rsidRDefault="002F4640" w:rsidP="00C96F4E">
      <w:pPr>
        <w:jc w:val="both"/>
        <w:rPr>
          <w:rFonts w:eastAsia="맑은 고딕"/>
          <w:lang w:eastAsia="ko-KR"/>
        </w:rPr>
      </w:pPr>
      <w:r>
        <w:rPr>
          <w:rFonts w:eastAsia="맑은 고딕"/>
          <w:lang w:eastAsia="ko-KR"/>
        </w:rPr>
        <w:t xml:space="preserve">In RAN2, it was agreed that </w:t>
      </w:r>
      <w:r w:rsidR="00517329">
        <w:rPr>
          <w:rFonts w:eastAsia="맑은 고딕"/>
          <w:lang w:eastAsia="ko-KR"/>
        </w:rPr>
        <w:t>i</w:t>
      </w:r>
      <w:r w:rsidRPr="002F4640">
        <w:rPr>
          <w:rFonts w:eastAsia="맑은 고딕"/>
          <w:lang w:val="en-GB" w:eastAsia="ko-KR"/>
        </w:rPr>
        <w:t>ntra-secondary nod</w:t>
      </w:r>
      <w:r w:rsidR="00517329">
        <w:rPr>
          <w:rFonts w:eastAsia="맑은 고딕"/>
          <w:lang w:val="en-GB" w:eastAsia="ko-KR"/>
        </w:rPr>
        <w:t xml:space="preserve">e mobility </w:t>
      </w:r>
      <w:r w:rsidRPr="002F4640">
        <w:rPr>
          <w:rFonts w:eastAsia="맑은 고딕"/>
          <w:lang w:val="en-GB" w:eastAsia="ko-KR"/>
        </w:rPr>
        <w:t>should be managed by the secondary node itself. At least in some cases, the master node needs to be informed of intra-secondary node mobility.</w:t>
      </w:r>
      <w:r w:rsidR="00517329">
        <w:rPr>
          <w:rFonts w:eastAsia="맑은 고딕"/>
          <w:lang w:val="en-GB" w:eastAsia="ko-KR"/>
        </w:rPr>
        <w:t xml:space="preserve"> For example, in case of </w:t>
      </w:r>
      <w:r w:rsidR="00517329">
        <w:rPr>
          <w:rFonts w:eastAsia="맑은 고딕"/>
          <w:lang w:eastAsia="ko-KR"/>
        </w:rPr>
        <w:t xml:space="preserve">PSCell change, </w:t>
      </w:r>
      <w:r w:rsidR="00517329" w:rsidRPr="002F4640">
        <w:rPr>
          <w:rFonts w:eastAsia="맑은 고딕"/>
          <w:lang w:eastAsia="ko-KR"/>
        </w:rPr>
        <w:t>SCell release/addition</w:t>
      </w:r>
      <w:r w:rsidR="00517329">
        <w:rPr>
          <w:rFonts w:eastAsia="맑은 고딕"/>
          <w:lang w:eastAsia="ko-KR"/>
        </w:rPr>
        <w:t xml:space="preserve">, it may result in the SCG configuration change. Thus, the coordination between the SgNB and MeNB is due to the UE capability. The final configuration should be notified to MeNB. So the step 2 seems to be optionally needed in the cases above. </w:t>
      </w:r>
    </w:p>
    <w:p w:rsidR="00C4477D" w:rsidRDefault="008C283F" w:rsidP="00701301">
      <w:pPr>
        <w:jc w:val="both"/>
        <w:rPr>
          <w:rFonts w:eastAsia="맑은 고딕"/>
          <w:b/>
          <w:lang w:val="en-GB" w:eastAsia="ko-KR"/>
        </w:rPr>
      </w:pPr>
      <w:r>
        <w:rPr>
          <w:rFonts w:eastAsia="맑은 고딕"/>
          <w:b/>
          <w:lang w:val="en-GB" w:eastAsia="ko-KR"/>
        </w:rPr>
        <w:t>Observation</w:t>
      </w:r>
      <w:r>
        <w:rPr>
          <w:rFonts w:eastAsia="맑은 고딕"/>
          <w:b/>
          <w:lang w:eastAsia="ko-KR"/>
        </w:rPr>
        <w:t xml:space="preserve"> 1): </w:t>
      </w:r>
      <w:r w:rsidR="005F2AB8">
        <w:rPr>
          <w:rFonts w:eastAsia="맑은 고딕"/>
          <w:b/>
          <w:lang w:eastAsia="ko-KR"/>
        </w:rPr>
        <w:t>I</w:t>
      </w:r>
      <w:r w:rsidR="008D48DD" w:rsidRPr="008D48DD">
        <w:rPr>
          <w:rFonts w:eastAsia="맑은 고딕"/>
          <w:b/>
          <w:lang w:eastAsia="ko-KR"/>
        </w:rPr>
        <w:t>n case of PSCell change, SCell release/addition, the SCG configuration change</w:t>
      </w:r>
      <w:r w:rsidR="005F2AB8">
        <w:rPr>
          <w:rFonts w:eastAsia="맑은 고딕"/>
          <w:b/>
          <w:lang w:val="en-GB" w:eastAsia="ko-KR"/>
        </w:rPr>
        <w:t xml:space="preserve"> may need to be notified to MeNB. </w:t>
      </w:r>
    </w:p>
    <w:p w:rsidR="005F2AB8" w:rsidRDefault="005F2AB8" w:rsidP="005F2AB8">
      <w:pPr>
        <w:jc w:val="both"/>
        <w:rPr>
          <w:rFonts w:eastAsia="맑은 고딕"/>
          <w:lang w:val="en-GB" w:eastAsia="ko-KR"/>
        </w:rPr>
      </w:pPr>
      <w:r>
        <w:rPr>
          <w:rFonts w:eastAsia="맑은 고딕"/>
          <w:b/>
          <w:lang w:eastAsia="ko-KR"/>
        </w:rPr>
        <w:lastRenderedPageBreak/>
        <w:t xml:space="preserve">Proposal 1): </w:t>
      </w:r>
      <w:r>
        <w:rPr>
          <w:rFonts w:eastAsia="맑은 고딕"/>
          <w:b/>
          <w:lang w:val="en-GB" w:eastAsia="ko-KR"/>
        </w:rPr>
        <w:t xml:space="preserve">Step 2a is optionally needed for </w:t>
      </w:r>
      <w:r w:rsidRPr="005F2AB8">
        <w:rPr>
          <w:rFonts w:eastAsia="맑은 고딕"/>
          <w:b/>
          <w:lang w:val="en-GB" w:eastAsia="ko-KR"/>
        </w:rPr>
        <w:t>Inter-gNB-DU Mobility using SCG SRB</w:t>
      </w:r>
      <w:r>
        <w:rPr>
          <w:rFonts w:eastAsia="맑은 고딕"/>
          <w:b/>
          <w:lang w:val="en-GB" w:eastAsia="ko-KR"/>
        </w:rPr>
        <w:t xml:space="preserve">. </w:t>
      </w:r>
    </w:p>
    <w:p w:rsidR="00476FD6" w:rsidRDefault="00200729" w:rsidP="00D61FC2">
      <w:pPr>
        <w:jc w:val="both"/>
        <w:rPr>
          <w:rFonts w:eastAsia="맑은 고딕"/>
          <w:lang w:val="en-GB" w:eastAsia="ko-KR"/>
        </w:rPr>
      </w:pPr>
      <w:r>
        <w:rPr>
          <w:rFonts w:eastAsia="맑은 고딕" w:hint="eastAsia"/>
          <w:lang w:val="en-GB" w:eastAsia="ko-KR"/>
        </w:rPr>
        <w:t>In [</w:t>
      </w:r>
      <w:r>
        <w:rPr>
          <w:rFonts w:eastAsia="맑은 고딕"/>
          <w:lang w:val="en-GB" w:eastAsia="ko-KR"/>
        </w:rPr>
        <w:t>4</w:t>
      </w:r>
      <w:r>
        <w:rPr>
          <w:rFonts w:eastAsia="맑은 고딕" w:hint="eastAsia"/>
          <w:lang w:val="en-GB" w:eastAsia="ko-KR"/>
        </w:rPr>
        <w:t>]</w:t>
      </w:r>
      <w:r>
        <w:rPr>
          <w:rFonts w:eastAsia="맑은 고딕"/>
          <w:lang w:val="en-GB" w:eastAsia="ko-KR"/>
        </w:rPr>
        <w:t xml:space="preserve">, </w:t>
      </w:r>
      <w:r w:rsidR="00845C1F">
        <w:rPr>
          <w:rFonts w:eastAsia="맑은 고딕" w:hint="eastAsia"/>
          <w:lang w:val="en-GB" w:eastAsia="ko-KR"/>
        </w:rPr>
        <w:t xml:space="preserve">there is one FFS on </w:t>
      </w:r>
      <w:r w:rsidR="00845C1F" w:rsidRPr="00845C1F">
        <w:rPr>
          <w:rFonts w:eastAsia="맑은 고딕"/>
          <w:i/>
          <w:lang w:val="en-GB" w:eastAsia="ko-KR"/>
        </w:rPr>
        <w:t>Whether inter-gNB-DU mobility using SCG SRB needs to be speci</w:t>
      </w:r>
      <w:r w:rsidR="00845C1F">
        <w:rPr>
          <w:rFonts w:eastAsia="맑은 고딕"/>
          <w:i/>
          <w:lang w:val="en-GB" w:eastAsia="ko-KR"/>
        </w:rPr>
        <w:t xml:space="preserve">fied as separate call flow. </w:t>
      </w:r>
      <w:r w:rsidR="00845C1F">
        <w:rPr>
          <w:rFonts w:eastAsia="맑은 고딕"/>
          <w:lang w:val="en-GB" w:eastAsia="ko-KR"/>
        </w:rPr>
        <w:t xml:space="preserve">On this issue, </w:t>
      </w:r>
      <w:r w:rsidR="00476FD6">
        <w:rPr>
          <w:rFonts w:eastAsia="맑은 고딕"/>
          <w:lang w:val="en-GB" w:eastAsia="ko-KR"/>
        </w:rPr>
        <w:t xml:space="preserve">if we compare the two call flows, i.e., </w:t>
      </w:r>
      <w:r w:rsidR="00476FD6">
        <w:t>Inter-gNB-DU Mobility for intra-NR</w:t>
      </w:r>
      <w:r w:rsidR="00476FD6">
        <w:t xml:space="preserve"> and </w:t>
      </w:r>
      <w:r w:rsidR="00476FD6" w:rsidRPr="00476FD6">
        <w:t>Inter-gNB-DU Mobility using SCG SRB in EN-DC</w:t>
      </w:r>
      <w:r w:rsidR="00476FD6">
        <w:t>, the only</w:t>
      </w:r>
      <w:r w:rsidR="00EE221F">
        <w:t xml:space="preserve"> added procedure is an optional step 2a. </w:t>
      </w:r>
      <w:r w:rsidR="009B4737">
        <w:t>Thus, an easy way to reflect this point is to add text description in the I</w:t>
      </w:r>
      <w:r w:rsidR="003B7316">
        <w:t xml:space="preserve">nter-gNB DU mobility procedure. </w:t>
      </w:r>
    </w:p>
    <w:p w:rsidR="00584126" w:rsidRPr="008B4CC1" w:rsidRDefault="00584126" w:rsidP="00584126">
      <w:pPr>
        <w:jc w:val="both"/>
        <w:rPr>
          <w:rFonts w:eastAsia="맑은 고딕"/>
          <w:b/>
          <w:lang w:eastAsia="ko-KR"/>
        </w:rPr>
      </w:pPr>
      <w:r>
        <w:rPr>
          <w:rFonts w:eastAsia="맑은 고딕"/>
          <w:b/>
          <w:lang w:eastAsia="ko-KR"/>
        </w:rPr>
        <w:t xml:space="preserve">Proposal 2): To add text </w:t>
      </w:r>
      <w:r w:rsidRPr="003B7316">
        <w:rPr>
          <w:rFonts w:eastAsia="맑은 고딕"/>
          <w:b/>
          <w:lang w:eastAsia="ko-KR"/>
        </w:rPr>
        <w:t xml:space="preserve">description </w:t>
      </w:r>
      <w:r>
        <w:rPr>
          <w:rFonts w:eastAsia="맑은 고딕"/>
          <w:b/>
          <w:lang w:eastAsia="ko-KR"/>
        </w:rPr>
        <w:t xml:space="preserve">of step 2a </w:t>
      </w:r>
      <w:r w:rsidRPr="003B7316">
        <w:rPr>
          <w:rFonts w:eastAsia="맑은 고딕"/>
          <w:b/>
          <w:lang w:eastAsia="ko-KR"/>
        </w:rPr>
        <w:t>in the Inter-gNB DU mobility procedure</w:t>
      </w:r>
      <w:r>
        <w:rPr>
          <w:rFonts w:eastAsia="맑은 고딕"/>
          <w:b/>
          <w:lang w:eastAsia="ko-KR"/>
        </w:rPr>
        <w:t xml:space="preserve"> (intra-NR) for reflecting </w:t>
      </w:r>
      <w:r w:rsidR="003222E5">
        <w:rPr>
          <w:rFonts w:eastAsia="맑은 고딕"/>
          <w:b/>
          <w:lang w:eastAsia="ko-KR"/>
        </w:rPr>
        <w:t xml:space="preserve">the case of </w:t>
      </w:r>
      <w:r>
        <w:rPr>
          <w:rFonts w:eastAsia="맑은 고딕"/>
          <w:b/>
          <w:lang w:eastAsia="ko-KR"/>
        </w:rPr>
        <w:t xml:space="preserve">EN-DC </w:t>
      </w:r>
      <w:r w:rsidR="003222E5">
        <w:rPr>
          <w:rFonts w:eastAsia="맑은 고딕"/>
          <w:b/>
          <w:lang w:eastAsia="ko-KR"/>
        </w:rPr>
        <w:t>using SCG SRB</w:t>
      </w:r>
      <w:r>
        <w:rPr>
          <w:rFonts w:eastAsia="맑은 고딕"/>
          <w:b/>
          <w:lang w:eastAsia="ko-KR"/>
        </w:rPr>
        <w:t>.</w:t>
      </w:r>
    </w:p>
    <w:p w:rsidR="001875B7" w:rsidRPr="0044214B" w:rsidRDefault="00195C86" w:rsidP="006372BB">
      <w:pPr>
        <w:jc w:val="both"/>
        <w:rPr>
          <w:rFonts w:eastAsia="맑은 고딕"/>
          <w:lang w:val="en-GB" w:eastAsia="ko-KR"/>
        </w:rPr>
      </w:pPr>
      <w:r>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195C86">
        <w:rPr>
          <w:rFonts w:eastAsia="맑은 고딕"/>
          <w:lang w:val="en-GB" w:eastAsia="ko-KR"/>
        </w:rPr>
        <w:t xml:space="preserve">the </w:t>
      </w:r>
      <w:r w:rsidR="007748FE">
        <w:rPr>
          <w:rFonts w:eastAsia="맑은 고딕"/>
          <w:lang w:val="en-GB" w:eastAsia="ko-KR"/>
        </w:rPr>
        <w:t>open issue on</w:t>
      </w:r>
      <w:r w:rsidR="007748FE" w:rsidRPr="007748FE">
        <w:rPr>
          <w:rFonts w:eastAsia="맑은 고딕"/>
          <w:lang w:val="en-GB" w:eastAsia="ko-KR"/>
        </w:rPr>
        <w:t xml:space="preserve"> Inter-gNB-DU Mobility using SCG SRB </w:t>
      </w:r>
      <w:r w:rsidR="00571441">
        <w:rPr>
          <w:rFonts w:eastAsia="맑은 고딕"/>
          <w:lang w:val="en-GB" w:eastAsia="ko-KR"/>
        </w:rPr>
        <w:t xml:space="preserve">were </w:t>
      </w:r>
      <w:r w:rsidR="007748FE">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B7316" w:rsidRDefault="003B7316" w:rsidP="003B7316">
      <w:pPr>
        <w:jc w:val="both"/>
        <w:rPr>
          <w:rFonts w:eastAsia="맑은 고딕"/>
          <w:b/>
          <w:lang w:eastAsia="ko-KR"/>
        </w:rPr>
      </w:pPr>
      <w:r>
        <w:rPr>
          <w:rFonts w:eastAsia="맑은 고딕"/>
          <w:b/>
          <w:lang w:eastAsia="ko-KR"/>
        </w:rPr>
        <w:t xml:space="preserve">Proposal 1): </w:t>
      </w:r>
      <w:r>
        <w:rPr>
          <w:rFonts w:eastAsia="맑은 고딕"/>
          <w:b/>
          <w:lang w:val="en-GB" w:eastAsia="ko-KR"/>
        </w:rPr>
        <w:t xml:space="preserve">Step 2a is optionally needed for </w:t>
      </w:r>
      <w:r w:rsidRPr="005F2AB8">
        <w:rPr>
          <w:rFonts w:eastAsia="맑은 고딕"/>
          <w:b/>
          <w:lang w:val="en-GB" w:eastAsia="ko-KR"/>
        </w:rPr>
        <w:t>Inter-gNB-DU Mobility using SCG SRB</w:t>
      </w:r>
      <w:r>
        <w:rPr>
          <w:rFonts w:eastAsia="맑은 고딕"/>
          <w:b/>
          <w:lang w:val="en-GB" w:eastAsia="ko-KR"/>
        </w:rPr>
        <w:t>.</w:t>
      </w:r>
    </w:p>
    <w:p w:rsidR="003B7316" w:rsidRPr="008B4CC1" w:rsidRDefault="003B7316" w:rsidP="003B7316">
      <w:pPr>
        <w:jc w:val="both"/>
        <w:rPr>
          <w:rFonts w:eastAsia="맑은 고딕"/>
          <w:b/>
          <w:lang w:eastAsia="ko-KR"/>
        </w:rPr>
      </w:pPr>
      <w:r>
        <w:rPr>
          <w:rFonts w:eastAsia="맑은 고딕"/>
          <w:b/>
          <w:lang w:eastAsia="ko-KR"/>
        </w:rPr>
        <w:t xml:space="preserve">Proposal 2): To add text </w:t>
      </w:r>
      <w:r w:rsidRPr="003B7316">
        <w:rPr>
          <w:rFonts w:eastAsia="맑은 고딕"/>
          <w:b/>
          <w:lang w:eastAsia="ko-KR"/>
        </w:rPr>
        <w:t xml:space="preserve">description </w:t>
      </w:r>
      <w:r w:rsidR="0009549D">
        <w:rPr>
          <w:rFonts w:eastAsia="맑은 고딕"/>
          <w:b/>
          <w:lang w:eastAsia="ko-KR"/>
        </w:rPr>
        <w:t>of</w:t>
      </w:r>
      <w:r>
        <w:rPr>
          <w:rFonts w:eastAsia="맑은 고딕"/>
          <w:b/>
          <w:lang w:eastAsia="ko-KR"/>
        </w:rPr>
        <w:t xml:space="preserve"> step 2a </w:t>
      </w:r>
      <w:r w:rsidRPr="003B7316">
        <w:rPr>
          <w:rFonts w:eastAsia="맑은 고딕"/>
          <w:b/>
          <w:lang w:eastAsia="ko-KR"/>
        </w:rPr>
        <w:t>in the Inter-gNB DU mobility procedure</w:t>
      </w:r>
      <w:r w:rsidR="0009549D">
        <w:rPr>
          <w:rFonts w:eastAsia="맑은 고딕"/>
          <w:b/>
          <w:lang w:eastAsia="ko-KR"/>
        </w:rPr>
        <w:t xml:space="preserve"> (intra-NR)</w:t>
      </w:r>
      <w:r>
        <w:rPr>
          <w:rFonts w:eastAsia="맑은 고딕"/>
          <w:b/>
          <w:lang w:eastAsia="ko-KR"/>
        </w:rPr>
        <w:t xml:space="preserve"> for reflecting </w:t>
      </w:r>
      <w:r w:rsidR="003222E5">
        <w:rPr>
          <w:rFonts w:eastAsia="맑은 고딕"/>
          <w:b/>
          <w:lang w:eastAsia="ko-KR"/>
        </w:rPr>
        <w:t xml:space="preserve">the case of </w:t>
      </w:r>
      <w:r>
        <w:rPr>
          <w:rFonts w:eastAsia="맑은 고딕"/>
          <w:b/>
          <w:lang w:eastAsia="ko-KR"/>
        </w:rPr>
        <w:t xml:space="preserve">EN-DC </w:t>
      </w:r>
      <w:r w:rsidR="003222E5">
        <w:rPr>
          <w:rFonts w:eastAsia="맑은 고딕"/>
          <w:b/>
          <w:lang w:eastAsia="ko-KR"/>
        </w:rPr>
        <w:t>using SCG SRB</w:t>
      </w:r>
      <w:r>
        <w:rPr>
          <w:rFonts w:eastAsia="맑은 고딕"/>
          <w:b/>
          <w:lang w:eastAsia="ko-KR"/>
        </w:rPr>
        <w:t>.</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B45285" w:rsidRDefault="00607ED1" w:rsidP="00B45285">
      <w:pPr>
        <w:numPr>
          <w:ilvl w:val="0"/>
          <w:numId w:val="1"/>
        </w:numPr>
      </w:pPr>
      <w:r>
        <w:rPr>
          <w:rFonts w:eastAsiaTheme="minorEastAsia" w:hint="eastAsia"/>
          <w:lang w:eastAsia="ko-KR"/>
        </w:rPr>
        <w:t>R3-</w:t>
      </w:r>
      <w:r w:rsidR="00B45285">
        <w:rPr>
          <w:rFonts w:eastAsiaTheme="minorEastAsia"/>
          <w:lang w:eastAsia="ko-KR"/>
        </w:rPr>
        <w:t xml:space="preserve">172762, </w:t>
      </w:r>
      <w:r w:rsidR="00B45285" w:rsidRPr="00AE5773">
        <w:rPr>
          <w:rFonts w:eastAsia="맑은 고딕"/>
          <w:lang w:val="en-GB" w:eastAsia="ko-KR"/>
        </w:rPr>
        <w:t>“</w:t>
      </w:r>
      <w:r w:rsidR="00B45285" w:rsidRPr="00B45285">
        <w:rPr>
          <w:rFonts w:eastAsia="맑은 고딕"/>
          <w:lang w:val="en-GB" w:eastAsia="ko-KR"/>
        </w:rPr>
        <w:t>Inter-gNB-DU Mobility procedure</w:t>
      </w:r>
      <w:r w:rsidR="00B45285" w:rsidRPr="00AE5773">
        <w:rPr>
          <w:rFonts w:eastAsia="맑은 고딕"/>
          <w:lang w:val="en-GB" w:eastAsia="ko-KR"/>
        </w:rPr>
        <w:t>”</w:t>
      </w:r>
      <w:r w:rsidR="00B45285">
        <w:rPr>
          <w:rFonts w:eastAsia="맑은 고딕"/>
          <w:lang w:val="en-GB" w:eastAsia="ko-KR"/>
        </w:rPr>
        <w:t>, Nokia</w:t>
      </w:r>
    </w:p>
    <w:p w:rsidR="00B45285" w:rsidRPr="00D2008A" w:rsidRDefault="00B45285" w:rsidP="00B45285">
      <w:pPr>
        <w:numPr>
          <w:ilvl w:val="0"/>
          <w:numId w:val="1"/>
        </w:numPr>
      </w:pPr>
      <w:r>
        <w:rPr>
          <w:rFonts w:eastAsiaTheme="minorEastAsia" w:hint="eastAsia"/>
          <w:lang w:eastAsia="ko-KR"/>
        </w:rPr>
        <w:t>R3-</w:t>
      </w:r>
      <w:r>
        <w:rPr>
          <w:rFonts w:eastAsiaTheme="minorEastAsia"/>
          <w:lang w:eastAsia="ko-KR"/>
        </w:rPr>
        <w:t>17</w:t>
      </w:r>
      <w:r>
        <w:rPr>
          <w:rFonts w:eastAsiaTheme="minorEastAsia"/>
          <w:lang w:eastAsia="ko-KR"/>
        </w:rPr>
        <w:t>3407</w:t>
      </w:r>
      <w:r>
        <w:rPr>
          <w:rFonts w:eastAsiaTheme="minorEastAsia"/>
          <w:lang w:eastAsia="ko-KR"/>
        </w:rPr>
        <w:t xml:space="preserve">, </w:t>
      </w:r>
      <w:r w:rsidRPr="00AE5773">
        <w:rPr>
          <w:rFonts w:eastAsia="맑은 고딕"/>
          <w:lang w:val="en-GB" w:eastAsia="ko-KR"/>
        </w:rPr>
        <w:t>“</w:t>
      </w:r>
      <w:r w:rsidRPr="00B45285">
        <w:rPr>
          <w:rFonts w:eastAsia="맑은 고딕"/>
          <w:lang w:val="en-GB" w:eastAsia="ko-KR"/>
        </w:rPr>
        <w:t>TP of gNB-CU/DU Mobility procedure</w:t>
      </w:r>
      <w:r w:rsidRPr="00AE5773">
        <w:rPr>
          <w:rFonts w:eastAsia="맑은 고딕"/>
          <w:lang w:val="en-GB" w:eastAsia="ko-KR"/>
        </w:rPr>
        <w:t>”</w:t>
      </w:r>
      <w:r>
        <w:rPr>
          <w:rFonts w:eastAsia="맑은 고딕"/>
          <w:lang w:val="en-GB" w:eastAsia="ko-KR"/>
        </w:rPr>
        <w:t>, Nokia</w:t>
      </w:r>
    </w:p>
    <w:sectPr w:rsidR="00B4528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587" w:rsidRDefault="00A53587">
      <w:r>
        <w:separator/>
      </w:r>
    </w:p>
  </w:endnote>
  <w:endnote w:type="continuationSeparator" w:id="0">
    <w:p w:rsidR="00A53587" w:rsidRDefault="00A5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587" w:rsidRDefault="00A53587">
      <w:r>
        <w:separator/>
      </w:r>
    </w:p>
  </w:footnote>
  <w:footnote w:type="continuationSeparator" w:id="0">
    <w:p w:rsidR="00A53587" w:rsidRDefault="00A535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8.65pt;height:8.6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4C3108"/>
    <w:multiLevelType w:val="hybridMultilevel"/>
    <w:tmpl w:val="5E7C1026"/>
    <w:lvl w:ilvl="0" w:tplc="C3A892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6B01DFC"/>
    <w:multiLevelType w:val="hybridMultilevel"/>
    <w:tmpl w:val="89227A52"/>
    <w:lvl w:ilvl="0" w:tplc="63B4694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2">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87A7F65"/>
    <w:multiLevelType w:val="hybridMultilevel"/>
    <w:tmpl w:val="1CCC1012"/>
    <w:lvl w:ilvl="0" w:tplc="B6EE65D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5"/>
  </w:num>
  <w:num w:numId="6">
    <w:abstractNumId w:val="14"/>
  </w:num>
  <w:num w:numId="7">
    <w:abstractNumId w:val="27"/>
  </w:num>
  <w:num w:numId="8">
    <w:abstractNumId w:val="40"/>
  </w:num>
  <w:num w:numId="9">
    <w:abstractNumId w:val="41"/>
  </w:num>
  <w:num w:numId="10">
    <w:abstractNumId w:val="37"/>
  </w:num>
  <w:num w:numId="11">
    <w:abstractNumId w:val="4"/>
  </w:num>
  <w:num w:numId="12">
    <w:abstractNumId w:val="28"/>
  </w:num>
  <w:num w:numId="13">
    <w:abstractNumId w:val="33"/>
  </w:num>
  <w:num w:numId="14">
    <w:abstractNumId w:val="34"/>
  </w:num>
  <w:num w:numId="15">
    <w:abstractNumId w:val="43"/>
  </w:num>
  <w:num w:numId="16">
    <w:abstractNumId w:val="36"/>
  </w:num>
  <w:num w:numId="17">
    <w:abstractNumId w:val="31"/>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2"/>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30"/>
  </w:num>
  <w:num w:numId="41">
    <w:abstractNumId w:val="13"/>
  </w:num>
  <w:num w:numId="42">
    <w:abstractNumId w:val="6"/>
  </w:num>
  <w:num w:numId="43">
    <w:abstractNumId w:val="35"/>
  </w:num>
  <w:num w:numId="44">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49D"/>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70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2F64"/>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0729"/>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056"/>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366"/>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75C"/>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640"/>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2E5"/>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6F8"/>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316"/>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D7C"/>
    <w:rsid w:val="003D0FDD"/>
    <w:rsid w:val="003D13B6"/>
    <w:rsid w:val="003D161F"/>
    <w:rsid w:val="003D1C43"/>
    <w:rsid w:val="003D1E8E"/>
    <w:rsid w:val="003D20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30286"/>
    <w:rsid w:val="004308A9"/>
    <w:rsid w:val="0043097C"/>
    <w:rsid w:val="00430A2D"/>
    <w:rsid w:val="00430E15"/>
    <w:rsid w:val="004319EA"/>
    <w:rsid w:val="00431E5D"/>
    <w:rsid w:val="00432719"/>
    <w:rsid w:val="00432B5F"/>
    <w:rsid w:val="004332F0"/>
    <w:rsid w:val="0043333F"/>
    <w:rsid w:val="0043433C"/>
    <w:rsid w:val="00434C66"/>
    <w:rsid w:val="00434FDD"/>
    <w:rsid w:val="004353F8"/>
    <w:rsid w:val="0043552C"/>
    <w:rsid w:val="00435714"/>
    <w:rsid w:val="004357D4"/>
    <w:rsid w:val="004358E7"/>
    <w:rsid w:val="00435D00"/>
    <w:rsid w:val="00435FA8"/>
    <w:rsid w:val="00436476"/>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6FD6"/>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5B7"/>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329"/>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6CF"/>
    <w:rsid w:val="00570930"/>
    <w:rsid w:val="00570A4E"/>
    <w:rsid w:val="00571014"/>
    <w:rsid w:val="00571441"/>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126"/>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1C6"/>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AB8"/>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A1C"/>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8FE"/>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5C1F"/>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8DD"/>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737"/>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587"/>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285"/>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2EAA"/>
    <w:rsid w:val="00BE4449"/>
    <w:rsid w:val="00BE4BA9"/>
    <w:rsid w:val="00BE4E1F"/>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179"/>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4E"/>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04B5"/>
    <w:rsid w:val="00D31CD2"/>
    <w:rsid w:val="00D33429"/>
    <w:rsid w:val="00D33B44"/>
    <w:rsid w:val="00D33BF4"/>
    <w:rsid w:val="00D35018"/>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109"/>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372"/>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7A"/>
    <w:rsid w:val="00EE16EC"/>
    <w:rsid w:val="00EE1857"/>
    <w:rsid w:val="00EE1CA6"/>
    <w:rsid w:val="00EE221F"/>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985EF-750C-400C-BA08-413278C2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93</TotalTime>
  <Pages>2</Pages>
  <Words>426</Words>
  <Characters>2433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36</cp:revision>
  <cp:lastPrinted>2011-08-11T13:08:00Z</cp:lastPrinted>
  <dcterms:created xsi:type="dcterms:W3CDTF">2017-09-29T23:41:00Z</dcterms:created>
  <dcterms:modified xsi:type="dcterms:W3CDTF">2017-09-30T02:10:00Z</dcterms:modified>
</cp:coreProperties>
</file>